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28" w:rsidRPr="00FF2C28" w:rsidRDefault="00FF2C28" w:rsidP="00FF2C28">
      <w:pPr>
        <w:jc w:val="center"/>
        <w:rPr>
          <w:b/>
          <w:sz w:val="24"/>
          <w:szCs w:val="24"/>
        </w:rPr>
      </w:pPr>
      <w:r w:rsidRPr="00FF2C28">
        <w:rPr>
          <w:b/>
          <w:sz w:val="24"/>
          <w:szCs w:val="24"/>
        </w:rPr>
        <w:t>Предложение по тарифу на передачу электрической энергии по сетям ООО «</w:t>
      </w:r>
      <w:proofErr w:type="spellStart"/>
      <w:r w:rsidRPr="00FF2C28">
        <w:rPr>
          <w:b/>
          <w:sz w:val="24"/>
          <w:szCs w:val="24"/>
        </w:rPr>
        <w:t>Промэнергосеть</w:t>
      </w:r>
      <w:proofErr w:type="spellEnd"/>
      <w:r w:rsidRPr="00FF2C28">
        <w:rPr>
          <w:b/>
          <w:sz w:val="24"/>
          <w:szCs w:val="24"/>
        </w:rPr>
        <w:t>» на 2017 год.</w:t>
      </w:r>
    </w:p>
    <w:p w:rsidR="00FF2C28" w:rsidRPr="00FF2C28" w:rsidRDefault="00FF2C28" w:rsidP="00FF2C28">
      <w:pPr>
        <w:jc w:val="center"/>
        <w:rPr>
          <w:b/>
          <w:sz w:val="24"/>
          <w:szCs w:val="24"/>
        </w:rPr>
      </w:pPr>
    </w:p>
    <w:p w:rsidR="003C1DD9" w:rsidRPr="00FF2C28" w:rsidRDefault="003C1DD9" w:rsidP="003C1DD9">
      <w:pPr>
        <w:rPr>
          <w:b/>
        </w:rPr>
      </w:pPr>
      <w:r w:rsidRPr="00FF2C28">
        <w:rPr>
          <w:b/>
        </w:rPr>
        <w:t>Основные показатели:</w:t>
      </w:r>
    </w:p>
    <w:p w:rsidR="003C1DD9" w:rsidRDefault="003C1DD9" w:rsidP="003C1DD9"/>
    <w:p w:rsidR="003C1DD9" w:rsidRDefault="00A61C9E" w:rsidP="003C1DD9">
      <w:r>
        <w:t>Плановый полезный отпуск на 2017</w:t>
      </w:r>
      <w:r w:rsidR="003C1DD9">
        <w:t xml:space="preserve"> г. – </w:t>
      </w:r>
      <w:r>
        <w:t>22349</w:t>
      </w:r>
      <w:r w:rsidR="003C1DD9">
        <w:t xml:space="preserve"> тыс. к</w:t>
      </w:r>
      <w:r w:rsidR="009564D8">
        <w:t>Вт*</w:t>
      </w:r>
      <w:proofErr w:type="gramStart"/>
      <w:r w:rsidR="003C1DD9">
        <w:t>ч</w:t>
      </w:r>
      <w:proofErr w:type="gramEnd"/>
      <w:r w:rsidR="00FF2C28">
        <w:t>.</w:t>
      </w:r>
    </w:p>
    <w:p w:rsidR="003C1DD9" w:rsidRDefault="003C1DD9" w:rsidP="003C1DD9">
      <w:r>
        <w:t xml:space="preserve">Плановая заявленная мощность: </w:t>
      </w:r>
      <w:r w:rsidR="00A61C9E">
        <w:t>7,5</w:t>
      </w:r>
      <w:r>
        <w:t xml:space="preserve"> МВт</w:t>
      </w:r>
      <w:r w:rsidR="00FF2C28">
        <w:t>.</w:t>
      </w:r>
    </w:p>
    <w:p w:rsidR="003C1DD9" w:rsidRDefault="00A61C9E" w:rsidP="003C1DD9">
      <w:r>
        <w:t>Плановые потери на 2017</w:t>
      </w:r>
      <w:r w:rsidR="003C1DD9">
        <w:t xml:space="preserve"> г. – </w:t>
      </w:r>
      <w:r>
        <w:t>1519,84</w:t>
      </w:r>
      <w:r w:rsidR="003C1DD9">
        <w:t xml:space="preserve"> тыс. кВт</w:t>
      </w:r>
      <w:r w:rsidR="009564D8">
        <w:t>*</w:t>
      </w:r>
      <w:proofErr w:type="gramStart"/>
      <w:r w:rsidR="003C1DD9">
        <w:t>ч</w:t>
      </w:r>
      <w:proofErr w:type="gramEnd"/>
      <w:r w:rsidR="003C1DD9">
        <w:t>, (6,</w:t>
      </w:r>
      <w:r w:rsidR="003C1DD9" w:rsidRPr="003C1DD9">
        <w:t>8005</w:t>
      </w:r>
      <w:r w:rsidR="003C1DD9">
        <w:t xml:space="preserve"> % от отпуска в сеть)</w:t>
      </w:r>
      <w:r w:rsidR="00FF2C28">
        <w:t>.</w:t>
      </w:r>
    </w:p>
    <w:p w:rsidR="003C1DD9" w:rsidRPr="003C1DD9" w:rsidRDefault="003C1DD9" w:rsidP="003C1DD9">
      <w:r>
        <w:t xml:space="preserve">Количество условных единиц распределительных электрических: </w:t>
      </w:r>
      <w:r w:rsidR="00A61C9E">
        <w:t>245.7</w:t>
      </w:r>
    </w:p>
    <w:p w:rsidR="003C1DD9" w:rsidRDefault="003C1DD9" w:rsidP="003C1DD9">
      <w:r>
        <w:t xml:space="preserve">Планируемый объем необходимой валовой выручки (НВВ) на содержание сетей </w:t>
      </w:r>
      <w:r w:rsidR="009564D8">
        <w:t>36,2221</w:t>
      </w:r>
      <w:r>
        <w:t xml:space="preserve"> млн. руб.</w:t>
      </w:r>
    </w:p>
    <w:p w:rsidR="003C1DD9" w:rsidRDefault="003C1DD9" w:rsidP="003C1DD9">
      <w:r>
        <w:t xml:space="preserve">Планируемый объем средств на компенсацию потерь: </w:t>
      </w:r>
      <w:r w:rsidR="009564D8">
        <w:t>3</w:t>
      </w:r>
      <w:r w:rsidR="00A61C9E">
        <w:t>,</w:t>
      </w:r>
      <w:r w:rsidR="009564D8">
        <w:t>7975</w:t>
      </w:r>
      <w:r>
        <w:t xml:space="preserve"> млн. руб</w:t>
      </w:r>
      <w:r w:rsidR="00FF2C28">
        <w:t>.</w:t>
      </w:r>
    </w:p>
    <w:p w:rsidR="0016753F" w:rsidRDefault="003C1DD9" w:rsidP="003C1DD9">
      <w:r>
        <w:t xml:space="preserve">Планируемый </w:t>
      </w:r>
      <w:proofErr w:type="spellStart"/>
      <w:r>
        <w:t>одноставочный</w:t>
      </w:r>
      <w:proofErr w:type="spellEnd"/>
      <w:r>
        <w:t xml:space="preserve"> тариф на услуги по передаче электрической энергии </w:t>
      </w:r>
      <w:r w:rsidR="009564D8">
        <w:t>1,62075</w:t>
      </w:r>
      <w:r>
        <w:t xml:space="preserve"> </w:t>
      </w:r>
      <w:proofErr w:type="spellStart"/>
      <w:r>
        <w:t>руб</w:t>
      </w:r>
      <w:proofErr w:type="spellEnd"/>
      <w:r>
        <w:t>/кВт</w:t>
      </w:r>
      <w:r w:rsidR="009564D8">
        <w:t>*</w:t>
      </w:r>
      <w:proofErr w:type="gramStart"/>
      <w:r>
        <w:t>ч</w:t>
      </w:r>
      <w:proofErr w:type="gramEnd"/>
      <w:r w:rsidR="00FF2C28">
        <w:t>.</w:t>
      </w:r>
    </w:p>
    <w:p w:rsidR="00FF2C28" w:rsidRDefault="00FF2C28" w:rsidP="003C1DD9">
      <w:r>
        <w:t xml:space="preserve"> </w:t>
      </w:r>
    </w:p>
    <w:p w:rsidR="00FF2C28" w:rsidRDefault="00FF2C28" w:rsidP="003C1DD9">
      <w:r>
        <w:t xml:space="preserve">19.04.2016г.                            Генеральный директор  </w:t>
      </w:r>
      <w:r w:rsidRPr="00FF2C28">
        <w:rPr>
          <w:u w:val="single"/>
        </w:rPr>
        <w:t xml:space="preserve">                       </w:t>
      </w:r>
      <w:r>
        <w:t xml:space="preserve"> Левченков С.В.</w:t>
      </w:r>
    </w:p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Pr="0050433C" w:rsidRDefault="0050433C" w:rsidP="0050433C">
      <w:pPr>
        <w:spacing w:after="120"/>
        <w:jc w:val="center"/>
        <w:rPr>
          <w:b/>
          <w:bCs/>
          <w:spacing w:val="50"/>
          <w:sz w:val="26"/>
          <w:szCs w:val="26"/>
        </w:rPr>
      </w:pPr>
      <w:r w:rsidRPr="0050433C">
        <w:rPr>
          <w:b/>
          <w:bCs/>
          <w:spacing w:val="50"/>
          <w:sz w:val="26"/>
          <w:szCs w:val="26"/>
        </w:rPr>
        <w:lastRenderedPageBreak/>
        <w:t>ПРЕДЛОЖЕНИЕ</w:t>
      </w:r>
    </w:p>
    <w:p w:rsidR="0050433C" w:rsidRPr="0050433C" w:rsidRDefault="0050433C" w:rsidP="0050433C">
      <w:pPr>
        <w:jc w:val="center"/>
        <w:rPr>
          <w:b/>
          <w:bCs/>
          <w:sz w:val="26"/>
          <w:szCs w:val="26"/>
        </w:rPr>
      </w:pPr>
      <w:r w:rsidRPr="0050433C"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50433C" w:rsidRPr="0050433C" w:rsidTr="006B172C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33C" w:rsidRPr="0050433C" w:rsidRDefault="0050433C" w:rsidP="0050433C">
            <w:pPr>
              <w:rPr>
                <w:sz w:val="26"/>
                <w:szCs w:val="26"/>
              </w:rPr>
            </w:pPr>
            <w:proofErr w:type="gramStart"/>
            <w:r w:rsidRPr="0050433C"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33C" w:rsidRPr="0050433C" w:rsidRDefault="0050433C" w:rsidP="0050433C">
            <w:pPr>
              <w:jc w:val="center"/>
              <w:rPr>
                <w:sz w:val="26"/>
                <w:szCs w:val="26"/>
              </w:rPr>
            </w:pPr>
            <w:r w:rsidRPr="0050433C">
              <w:rPr>
                <w:sz w:val="26"/>
                <w:szCs w:val="26"/>
              </w:rPr>
              <w:t>2017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33C" w:rsidRPr="0050433C" w:rsidRDefault="0050433C" w:rsidP="0050433C">
            <w:pPr>
              <w:ind w:left="57"/>
              <w:rPr>
                <w:sz w:val="26"/>
                <w:szCs w:val="26"/>
              </w:rPr>
            </w:pPr>
            <w:r w:rsidRPr="0050433C">
              <w:rPr>
                <w:sz w:val="26"/>
                <w:szCs w:val="26"/>
              </w:rPr>
              <w:t>год</w:t>
            </w:r>
          </w:p>
        </w:tc>
      </w:tr>
      <w:tr w:rsidR="0050433C" w:rsidRPr="0050433C" w:rsidTr="006B172C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433C" w:rsidRPr="0050433C" w:rsidRDefault="0050433C" w:rsidP="0050433C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0433C" w:rsidRPr="0050433C" w:rsidRDefault="0050433C" w:rsidP="0050433C">
            <w:pPr>
              <w:jc w:val="center"/>
            </w:pPr>
            <w:r w:rsidRPr="0050433C"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0433C" w:rsidRPr="0050433C" w:rsidRDefault="0050433C" w:rsidP="0050433C">
            <w:pPr>
              <w:jc w:val="center"/>
            </w:pPr>
          </w:p>
        </w:tc>
      </w:tr>
    </w:tbl>
    <w:p w:rsidR="0050433C" w:rsidRPr="0050433C" w:rsidRDefault="0050433C" w:rsidP="0050433C">
      <w:pPr>
        <w:spacing w:before="120"/>
        <w:rPr>
          <w:sz w:val="24"/>
          <w:szCs w:val="24"/>
        </w:rPr>
      </w:pPr>
      <w:r w:rsidRPr="0050433C">
        <w:rPr>
          <w:sz w:val="24"/>
          <w:szCs w:val="24"/>
        </w:rPr>
        <w:t>Общество с ограниченной ответственностью «</w:t>
      </w:r>
      <w:proofErr w:type="spellStart"/>
      <w:r w:rsidRPr="0050433C">
        <w:rPr>
          <w:sz w:val="24"/>
          <w:szCs w:val="24"/>
        </w:rPr>
        <w:t>Промэнергосеть</w:t>
      </w:r>
      <w:proofErr w:type="spellEnd"/>
      <w:r w:rsidRPr="0050433C">
        <w:rPr>
          <w:sz w:val="24"/>
          <w:szCs w:val="24"/>
        </w:rPr>
        <w:t>» (ООО «</w:t>
      </w:r>
      <w:proofErr w:type="spellStart"/>
      <w:r w:rsidRPr="0050433C">
        <w:rPr>
          <w:sz w:val="24"/>
          <w:szCs w:val="24"/>
        </w:rPr>
        <w:t>Промэнергосеть</w:t>
      </w:r>
      <w:proofErr w:type="spellEnd"/>
      <w:r w:rsidRPr="0050433C">
        <w:rPr>
          <w:sz w:val="24"/>
          <w:szCs w:val="24"/>
        </w:rPr>
        <w:t>»)</w:t>
      </w:r>
    </w:p>
    <w:p w:rsidR="0050433C" w:rsidRPr="0050433C" w:rsidRDefault="0050433C" w:rsidP="0050433C">
      <w:pPr>
        <w:pBdr>
          <w:top w:val="single" w:sz="4" w:space="1" w:color="auto"/>
        </w:pBdr>
        <w:jc w:val="center"/>
      </w:pPr>
      <w:r w:rsidRPr="0050433C">
        <w:t>(полное и сокращенное наименование юридического лица)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pBdr>
          <w:top w:val="single" w:sz="4" w:space="15" w:color="auto"/>
        </w:pBdr>
        <w:rPr>
          <w:sz w:val="2"/>
          <w:szCs w:val="2"/>
        </w:rPr>
      </w:pP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spacing w:after="720"/>
        <w:jc w:val="center"/>
        <w:rPr>
          <w:sz w:val="26"/>
          <w:szCs w:val="26"/>
        </w:rPr>
      </w:pPr>
      <w:r w:rsidRPr="0050433C">
        <w:rPr>
          <w:sz w:val="26"/>
          <w:szCs w:val="26"/>
        </w:rPr>
        <w:t>Раздел 1. Информация об организации</w:t>
      </w: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Полное наименование Общество с ограниченной ответственностью «</w:t>
      </w:r>
      <w:proofErr w:type="spellStart"/>
      <w:r w:rsidRPr="0050433C">
        <w:rPr>
          <w:sz w:val="24"/>
          <w:szCs w:val="24"/>
        </w:rPr>
        <w:t>Промэнергосеть</w:t>
      </w:r>
      <w:proofErr w:type="spellEnd"/>
      <w:r w:rsidRPr="0050433C">
        <w:rPr>
          <w:sz w:val="24"/>
          <w:szCs w:val="24"/>
        </w:rPr>
        <w:t>»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Сокращенное наименование ООО «</w:t>
      </w:r>
      <w:proofErr w:type="spellStart"/>
      <w:r w:rsidRPr="0050433C">
        <w:rPr>
          <w:sz w:val="24"/>
          <w:szCs w:val="24"/>
        </w:rPr>
        <w:t>Промэнергосеть</w:t>
      </w:r>
      <w:proofErr w:type="spellEnd"/>
      <w:r w:rsidRPr="0050433C">
        <w:rPr>
          <w:sz w:val="24"/>
          <w:szCs w:val="24"/>
        </w:rPr>
        <w:t>»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Место нахождения 214004, г. Смоленск, ул. Оршанская, д. 16, офис 92.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Фактический адрес 214004, г. Смоленск, ул. Оршанская, д. 16, офис 92.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ИНН 6732063426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КПП 673201001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Ф.И.О. руководителя  Генеральный директор Левченков Сергей Владимирович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 xml:space="preserve">Адрес электронной почты </w:t>
      </w:r>
      <w:hyperlink r:id="rId8" w:history="1">
        <w:r w:rsidRPr="0050433C">
          <w:rPr>
            <w:color w:val="0000FF"/>
            <w:sz w:val="24"/>
            <w:szCs w:val="24"/>
            <w:u w:val="single"/>
            <w:lang w:val="en-US"/>
          </w:rPr>
          <w:t>promenergoset</w:t>
        </w:r>
        <w:r w:rsidRPr="0050433C">
          <w:rPr>
            <w:color w:val="0000FF"/>
            <w:sz w:val="24"/>
            <w:szCs w:val="24"/>
            <w:u w:val="single"/>
          </w:rPr>
          <w:t>@</w:t>
        </w:r>
        <w:r w:rsidRPr="0050433C">
          <w:rPr>
            <w:color w:val="0000FF"/>
            <w:sz w:val="24"/>
            <w:szCs w:val="24"/>
            <w:u w:val="single"/>
            <w:lang w:val="en-US"/>
          </w:rPr>
          <w:t>mail</w:t>
        </w:r>
        <w:r w:rsidRPr="0050433C">
          <w:rPr>
            <w:color w:val="0000FF"/>
            <w:sz w:val="24"/>
            <w:szCs w:val="24"/>
            <w:u w:val="single"/>
          </w:rPr>
          <w:t>.</w:t>
        </w:r>
        <w:r w:rsidRPr="0050433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Контактный телефон 8-910-714-23-77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Факс (4812) 52-01-28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</w:p>
    <w:p w:rsidR="0050433C" w:rsidRPr="0050433C" w:rsidRDefault="0050433C" w:rsidP="0050433C">
      <w:pPr>
        <w:rPr>
          <w:sz w:val="24"/>
          <w:szCs w:val="24"/>
        </w:rPr>
      </w:pPr>
      <w:r w:rsidRPr="0050433C">
        <w:rPr>
          <w:sz w:val="24"/>
          <w:szCs w:val="24"/>
        </w:rPr>
        <w:t>Генеральный директор                                     Левченков Сергей Владимирович</w:t>
      </w:r>
    </w:p>
    <w:p w:rsidR="0050433C" w:rsidRPr="0050433C" w:rsidRDefault="0050433C" w:rsidP="0050433C">
      <w:pPr>
        <w:rPr>
          <w:sz w:val="24"/>
          <w:szCs w:val="24"/>
        </w:rPr>
      </w:pPr>
    </w:p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5"/>
        <w:gridCol w:w="2534"/>
        <w:gridCol w:w="1041"/>
        <w:gridCol w:w="2016"/>
        <w:gridCol w:w="2260"/>
        <w:gridCol w:w="1986"/>
      </w:tblGrid>
      <w:tr w:rsidR="0050433C" w:rsidRPr="0050433C" w:rsidTr="0050433C">
        <w:trPr>
          <w:trHeight w:val="10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bookmarkStart w:id="0" w:name="RANGE!A1:F49"/>
            <w:bookmarkEnd w:id="0"/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pPr>
              <w:rPr>
                <w:b/>
                <w:bCs/>
              </w:rPr>
            </w:pPr>
            <w:r w:rsidRPr="0050433C">
              <w:rPr>
                <w:b/>
                <w:bCs/>
              </w:rPr>
              <w:t>Предложение о размере цен (тарифов), долгосрочных параметров регулирования</w:t>
            </w:r>
            <w:r>
              <w:rPr>
                <w:b/>
                <w:bCs/>
              </w:rPr>
              <w:t xml:space="preserve"> </w:t>
            </w:r>
            <w:r w:rsidRPr="0050433C">
              <w:rPr>
                <w:b/>
                <w:bCs/>
              </w:rPr>
              <w:t>для ООО «</w:t>
            </w:r>
            <w:proofErr w:type="spellStart"/>
            <w:r w:rsidRPr="0050433C">
              <w:rPr>
                <w:b/>
                <w:bCs/>
              </w:rPr>
              <w:t>Промэнергосеть</w:t>
            </w:r>
            <w:proofErr w:type="spellEnd"/>
            <w:r w:rsidRPr="0050433C">
              <w:rPr>
                <w:b/>
                <w:bCs/>
              </w:rPr>
              <w:t>» на 2017 год.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33C" w:rsidRPr="0050433C" w:rsidRDefault="0050433C">
            <w:r w:rsidRPr="0050433C">
              <w:t>Приложение № 2</w:t>
            </w:r>
            <w:r w:rsidRPr="0050433C">
              <w:br/>
              <w:t>к предложению о размере цен (тарифов), долгосрочных параметров регулирования</w:t>
            </w:r>
          </w:p>
        </w:tc>
      </w:tr>
      <w:tr w:rsidR="0050433C" w:rsidRPr="0050433C" w:rsidTr="005043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pPr>
              <w:rPr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</w:tr>
      <w:tr w:rsidR="0050433C" w:rsidRPr="0050433C" w:rsidTr="005043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</w:tr>
      <w:tr w:rsidR="0050433C" w:rsidRPr="0050433C" w:rsidTr="0050433C">
        <w:trPr>
          <w:trHeight w:val="630"/>
        </w:trPr>
        <w:tc>
          <w:tcPr>
            <w:tcW w:w="13280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50433C" w:rsidRPr="0050433C" w:rsidRDefault="0050433C" w:rsidP="0050433C">
            <w:r w:rsidRPr="0050433C">
              <w:t>Раздел 2. Основные показатели деятельности организаций, относящихся к субъектам естественных монополий,</w:t>
            </w:r>
            <w:r w:rsidRPr="0050433C">
              <w:br/>
              <w:t>а также коммерческого оператора оптового рынка электрической энергии (мощности)</w:t>
            </w:r>
          </w:p>
        </w:tc>
      </w:tr>
      <w:tr w:rsidR="0050433C" w:rsidRPr="0050433C" w:rsidTr="0050433C">
        <w:trPr>
          <w:trHeight w:val="315"/>
        </w:trPr>
        <w:tc>
          <w:tcPr>
            <w:tcW w:w="700" w:type="dxa"/>
            <w:noWrap/>
            <w:hideMark/>
          </w:tcPr>
          <w:p w:rsidR="0050433C" w:rsidRPr="0050433C" w:rsidRDefault="0050433C"/>
        </w:tc>
        <w:tc>
          <w:tcPr>
            <w:tcW w:w="3260" w:type="dxa"/>
            <w:noWrap/>
            <w:hideMark/>
          </w:tcPr>
          <w:p w:rsidR="0050433C" w:rsidRPr="0050433C" w:rsidRDefault="0050433C"/>
        </w:tc>
        <w:tc>
          <w:tcPr>
            <w:tcW w:w="1300" w:type="dxa"/>
            <w:noWrap/>
            <w:hideMark/>
          </w:tcPr>
          <w:p w:rsidR="0050433C" w:rsidRPr="0050433C" w:rsidRDefault="0050433C"/>
        </w:tc>
        <w:tc>
          <w:tcPr>
            <w:tcW w:w="2580" w:type="dxa"/>
            <w:noWrap/>
            <w:hideMark/>
          </w:tcPr>
          <w:p w:rsidR="0050433C" w:rsidRPr="0050433C" w:rsidRDefault="0050433C"/>
        </w:tc>
        <w:tc>
          <w:tcPr>
            <w:tcW w:w="2900" w:type="dxa"/>
            <w:noWrap/>
            <w:hideMark/>
          </w:tcPr>
          <w:p w:rsidR="0050433C" w:rsidRPr="0050433C" w:rsidRDefault="0050433C"/>
        </w:tc>
        <w:tc>
          <w:tcPr>
            <w:tcW w:w="2540" w:type="dxa"/>
            <w:noWrap/>
            <w:hideMark/>
          </w:tcPr>
          <w:p w:rsidR="0050433C" w:rsidRPr="0050433C" w:rsidRDefault="0050433C"/>
        </w:tc>
      </w:tr>
      <w:tr w:rsidR="0050433C" w:rsidRPr="0050433C" w:rsidTr="0050433C">
        <w:trPr>
          <w:trHeight w:val="315"/>
        </w:trPr>
        <w:tc>
          <w:tcPr>
            <w:tcW w:w="700" w:type="dxa"/>
            <w:noWrap/>
            <w:hideMark/>
          </w:tcPr>
          <w:p w:rsidR="0050433C" w:rsidRPr="0050433C" w:rsidRDefault="0050433C"/>
        </w:tc>
        <w:tc>
          <w:tcPr>
            <w:tcW w:w="3260" w:type="dxa"/>
            <w:noWrap/>
            <w:hideMark/>
          </w:tcPr>
          <w:p w:rsidR="0050433C" w:rsidRPr="0050433C" w:rsidRDefault="0050433C"/>
        </w:tc>
        <w:tc>
          <w:tcPr>
            <w:tcW w:w="1300" w:type="dxa"/>
            <w:noWrap/>
            <w:hideMark/>
          </w:tcPr>
          <w:p w:rsidR="0050433C" w:rsidRPr="0050433C" w:rsidRDefault="0050433C"/>
        </w:tc>
        <w:tc>
          <w:tcPr>
            <w:tcW w:w="2580" w:type="dxa"/>
            <w:noWrap/>
            <w:hideMark/>
          </w:tcPr>
          <w:p w:rsidR="0050433C" w:rsidRPr="0050433C" w:rsidRDefault="0050433C"/>
        </w:tc>
        <w:tc>
          <w:tcPr>
            <w:tcW w:w="2900" w:type="dxa"/>
            <w:noWrap/>
            <w:hideMark/>
          </w:tcPr>
          <w:p w:rsidR="0050433C" w:rsidRPr="0050433C" w:rsidRDefault="0050433C"/>
        </w:tc>
        <w:tc>
          <w:tcPr>
            <w:tcW w:w="2540" w:type="dxa"/>
            <w:noWrap/>
            <w:hideMark/>
          </w:tcPr>
          <w:p w:rsidR="0050433C" w:rsidRPr="0050433C" w:rsidRDefault="0050433C"/>
        </w:tc>
      </w:tr>
      <w:tr w:rsidR="0050433C" w:rsidRPr="0050433C" w:rsidTr="0050433C">
        <w:trPr>
          <w:trHeight w:val="1890"/>
        </w:trPr>
        <w:tc>
          <w:tcPr>
            <w:tcW w:w="700" w:type="dxa"/>
            <w:hideMark/>
          </w:tcPr>
          <w:p w:rsidR="0050433C" w:rsidRPr="0050433C" w:rsidRDefault="0050433C" w:rsidP="0050433C">
            <w:bookmarkStart w:id="1" w:name="RANGE!A7:F43"/>
            <w:r w:rsidRPr="0050433C">
              <w:t xml:space="preserve">№ </w:t>
            </w:r>
            <w:r w:rsidRPr="0050433C">
              <w:br/>
            </w:r>
            <w:proofErr w:type="gramStart"/>
            <w:r w:rsidRPr="0050433C">
              <w:t>п</w:t>
            </w:r>
            <w:proofErr w:type="gramEnd"/>
            <w:r w:rsidRPr="0050433C">
              <w:t>/п</w:t>
            </w:r>
            <w:bookmarkEnd w:id="1"/>
          </w:p>
        </w:tc>
        <w:tc>
          <w:tcPr>
            <w:tcW w:w="3260" w:type="dxa"/>
            <w:hideMark/>
          </w:tcPr>
          <w:p w:rsidR="0050433C" w:rsidRPr="0050433C" w:rsidRDefault="0050433C" w:rsidP="0050433C">
            <w:r w:rsidRPr="0050433C">
              <w:t>Наименование показателей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Единица измерения</w:t>
            </w:r>
          </w:p>
        </w:tc>
        <w:tc>
          <w:tcPr>
            <w:tcW w:w="2580" w:type="dxa"/>
            <w:hideMark/>
          </w:tcPr>
          <w:p w:rsidR="0050433C" w:rsidRPr="0050433C" w:rsidRDefault="0050433C" w:rsidP="0050433C">
            <w:r w:rsidRPr="0050433C">
              <w:t xml:space="preserve">Фактические показатели </w:t>
            </w:r>
            <w:r w:rsidRPr="0050433C">
              <w:br/>
              <w:t>за год, предшествующий базовому периоду  2015г.</w:t>
            </w:r>
          </w:p>
        </w:tc>
        <w:tc>
          <w:tcPr>
            <w:tcW w:w="2900" w:type="dxa"/>
            <w:hideMark/>
          </w:tcPr>
          <w:p w:rsidR="0050433C" w:rsidRPr="0050433C" w:rsidRDefault="0050433C" w:rsidP="0050433C">
            <w:r w:rsidRPr="0050433C">
              <w:t xml:space="preserve">Показатели, утвержденные </w:t>
            </w:r>
            <w:r w:rsidRPr="0050433C">
              <w:br/>
              <w:t xml:space="preserve">на </w:t>
            </w:r>
            <w:proofErr w:type="gramStart"/>
            <w:r w:rsidRPr="0050433C">
              <w:t>базовый</w:t>
            </w:r>
            <w:proofErr w:type="gramEnd"/>
            <w:r w:rsidRPr="0050433C">
              <w:t xml:space="preserve"> период-2016г. </w:t>
            </w:r>
            <w:r w:rsidRPr="0050433C">
              <w:rPr>
                <w:vertAlign w:val="superscript"/>
              </w:rPr>
              <w:t>1</w:t>
            </w:r>
          </w:p>
        </w:tc>
        <w:tc>
          <w:tcPr>
            <w:tcW w:w="2540" w:type="dxa"/>
            <w:hideMark/>
          </w:tcPr>
          <w:p w:rsidR="0050433C" w:rsidRPr="0050433C" w:rsidRDefault="0050433C" w:rsidP="0050433C">
            <w:r w:rsidRPr="0050433C">
              <w:t xml:space="preserve">Предложения </w:t>
            </w:r>
            <w:r w:rsidRPr="0050433C">
              <w:br/>
              <w:t>на расчетный период регулирования-2017г.</w:t>
            </w:r>
          </w:p>
        </w:tc>
      </w:tr>
      <w:tr w:rsidR="0050433C" w:rsidRPr="0050433C" w:rsidTr="0050433C">
        <w:trPr>
          <w:trHeight w:val="84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1.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Показатели эффективности деятельности организации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</w:tr>
      <w:tr w:rsidR="0050433C" w:rsidRPr="0050433C" w:rsidTr="0050433C">
        <w:trPr>
          <w:trHeight w:val="574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1.1.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Выручка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E21753" w:rsidP="0050433C">
            <w:r>
              <w:t>9426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25722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36222</w:t>
            </w:r>
          </w:p>
        </w:tc>
      </w:tr>
      <w:tr w:rsidR="0050433C" w:rsidRPr="0050433C" w:rsidTr="0050433C">
        <w:trPr>
          <w:trHeight w:val="574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1.2.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Прибыль (убыток) от продаж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AC5B00" w:rsidP="0050433C">
            <w:r>
              <w:t>-</w:t>
            </w:r>
            <w:r w:rsidR="00E21753">
              <w:t>1978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0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0</w:t>
            </w:r>
          </w:p>
        </w:tc>
      </w:tr>
      <w:tr w:rsidR="0050433C" w:rsidRPr="0050433C" w:rsidTr="0050433C">
        <w:trPr>
          <w:trHeight w:val="118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1.3.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EBITDA (прибыль до процентов, налогов и амортизации)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E21753" w:rsidP="0050433C">
            <w:r>
              <w:t>2001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0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0</w:t>
            </w:r>
          </w:p>
        </w:tc>
      </w:tr>
      <w:tr w:rsidR="0050433C" w:rsidRPr="0050433C" w:rsidTr="0050433C">
        <w:trPr>
          <w:trHeight w:val="55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1.4.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Чистая прибыль (убыток)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AC5B00" w:rsidP="0050433C">
            <w:r>
              <w:t>-</w:t>
            </w:r>
            <w:bookmarkStart w:id="2" w:name="_GoBack"/>
            <w:bookmarkEnd w:id="2"/>
            <w:r w:rsidR="00E21753">
              <w:t>3137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1640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1720</w:t>
            </w:r>
          </w:p>
        </w:tc>
      </w:tr>
      <w:tr w:rsidR="0050433C" w:rsidRPr="0050433C" w:rsidTr="0050433C">
        <w:trPr>
          <w:trHeight w:val="82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2.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Показатели рентабельности организации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</w:tr>
      <w:tr w:rsidR="0050433C" w:rsidRPr="0050433C" w:rsidTr="0050433C">
        <w:trPr>
          <w:trHeight w:val="220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2.1.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Рентабельность продаж (величина прибыли от продаж </w:t>
            </w:r>
            <w:r w:rsidRPr="0050433C">
              <w:br w:type="page"/>
              <w:t xml:space="preserve">в каждом рубле выручки). </w:t>
            </w:r>
            <w:r w:rsidRPr="0050433C">
              <w:br w:type="page"/>
              <w:t>Нормальное значение для данной отрасли от 9 процентов и более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процент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E21753">
            <w:r w:rsidRPr="0050433C">
              <w:t xml:space="preserve">                             </w:t>
            </w:r>
            <w:r w:rsidR="00E21753">
              <w:t>20,98</w:t>
            </w:r>
            <w:r w:rsidRPr="0050433C">
              <w:t xml:space="preserve">   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                  -     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            -     </w:t>
            </w:r>
          </w:p>
        </w:tc>
      </w:tr>
      <w:tr w:rsidR="0050433C" w:rsidRPr="0050433C" w:rsidTr="0050433C">
        <w:trPr>
          <w:trHeight w:val="117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3.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Показатели регулируемых </w:t>
            </w:r>
            <w:r w:rsidRPr="0050433C">
              <w:br/>
              <w:t>видов деятельности организации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</w:tr>
      <w:tr w:rsidR="0050433C" w:rsidRPr="0050433C" w:rsidTr="0050433C">
        <w:trPr>
          <w:trHeight w:val="49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3.3.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Заявленная мощность 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МВт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1,58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6,19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7,5</w:t>
            </w:r>
          </w:p>
        </w:tc>
      </w:tr>
      <w:tr w:rsidR="0050433C" w:rsidRPr="0050433C" w:rsidTr="0050433C">
        <w:trPr>
          <w:trHeight w:val="120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lastRenderedPageBreak/>
              <w:br/>
              <w:t>3.4.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br/>
              <w:t xml:space="preserve">Объем полезного отпуска электроэнергии - всего 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br/>
              <w:t xml:space="preserve">тыс. </w:t>
            </w:r>
            <w:proofErr w:type="spellStart"/>
            <w:r w:rsidRPr="0050433C">
              <w:t>кВт·</w:t>
            </w:r>
            <w:proofErr w:type="gramStart"/>
            <w:r w:rsidRPr="0050433C">
              <w:t>ч</w:t>
            </w:r>
            <w:proofErr w:type="spellEnd"/>
            <w:proofErr w:type="gramEnd"/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12 700,00   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      22 349,00   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22 349,00   </w:t>
            </w:r>
          </w:p>
        </w:tc>
      </w:tr>
      <w:tr w:rsidR="0050433C" w:rsidRPr="0050433C" w:rsidTr="0050433C">
        <w:trPr>
          <w:trHeight w:val="153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3.5.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Объем полезного отпуска электроэнергии населению и приравненным к нему категориям потребителей 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 xml:space="preserve">тыс. </w:t>
            </w:r>
            <w:proofErr w:type="spellStart"/>
            <w:r w:rsidRPr="0050433C">
              <w:t>кВт·</w:t>
            </w:r>
            <w:proofErr w:type="gramStart"/>
            <w:r w:rsidRPr="0050433C">
              <w:t>ч</w:t>
            </w:r>
            <w:proofErr w:type="spellEnd"/>
            <w:proofErr w:type="gramEnd"/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</w:tr>
      <w:tr w:rsidR="0050433C" w:rsidRPr="0050433C" w:rsidTr="0050433C">
        <w:trPr>
          <w:trHeight w:val="253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3.6.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процент</w:t>
            </w:r>
          </w:p>
        </w:tc>
        <w:tc>
          <w:tcPr>
            <w:tcW w:w="2580" w:type="dxa"/>
            <w:hideMark/>
          </w:tcPr>
          <w:p w:rsidR="0050433C" w:rsidRPr="0050433C" w:rsidRDefault="0050433C" w:rsidP="0050433C">
            <w:r w:rsidRPr="0050433C">
              <w:t xml:space="preserve">6,8005 % Экспертное заключение Департамента Смоленской области по энергетике,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t>, тарифной политике от 18.11.14 №438/16</w:t>
            </w:r>
          </w:p>
        </w:tc>
        <w:tc>
          <w:tcPr>
            <w:tcW w:w="2900" w:type="dxa"/>
            <w:hideMark/>
          </w:tcPr>
          <w:p w:rsidR="0050433C" w:rsidRPr="0050433C" w:rsidRDefault="0050433C" w:rsidP="0050433C">
            <w:r w:rsidRPr="0050433C">
              <w:t xml:space="preserve">6,8005 % Экспертное заключение Департамента Смоленской области по энергетике,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t>, тарифной политике от 16.12.15 №155</w:t>
            </w:r>
          </w:p>
        </w:tc>
        <w:tc>
          <w:tcPr>
            <w:tcW w:w="2540" w:type="dxa"/>
            <w:hideMark/>
          </w:tcPr>
          <w:p w:rsidR="0050433C" w:rsidRPr="0050433C" w:rsidRDefault="0050433C" w:rsidP="0050433C">
            <w:r w:rsidRPr="0050433C">
              <w:t xml:space="preserve">6,8005 % Экспертное заключение Департамента Смоленской области по энергетике,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t>, тарифной политике от 16.12.15 №155</w:t>
            </w:r>
          </w:p>
        </w:tc>
      </w:tr>
      <w:tr w:rsidR="0050433C" w:rsidRPr="0050433C" w:rsidTr="0050433C">
        <w:trPr>
          <w:trHeight w:val="325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3.7.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Реквизиты программы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t xml:space="preserve"> (кем утверждена, дата утверждения, номер приказа)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hideMark/>
          </w:tcPr>
          <w:p w:rsidR="0050433C" w:rsidRPr="0050433C" w:rsidRDefault="0050433C" w:rsidP="0050433C">
            <w:r w:rsidRPr="0050433C">
              <w:t xml:space="preserve">Программа в области энергосбережения и </w:t>
            </w:r>
            <w:r w:rsidRPr="0050433C">
              <w:br/>
            </w:r>
            <w:proofErr w:type="spellStart"/>
            <w:proofErr w:type="gramStart"/>
            <w:r w:rsidRPr="0050433C">
              <w:t>и</w:t>
            </w:r>
            <w:proofErr w:type="spellEnd"/>
            <w:proofErr w:type="gramEnd"/>
            <w:r w:rsidRPr="0050433C">
              <w:t xml:space="preserve"> повышения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br/>
              <w:t>ООО «</w:t>
            </w:r>
            <w:proofErr w:type="spellStart"/>
            <w:r w:rsidRPr="0050433C">
              <w:t>Промэнергосеть</w:t>
            </w:r>
            <w:proofErr w:type="spellEnd"/>
            <w:r w:rsidRPr="0050433C">
              <w:t xml:space="preserve">» 2015-2018 г., утверждена </w:t>
            </w:r>
            <w:proofErr w:type="spellStart"/>
            <w:r w:rsidRPr="0050433C">
              <w:t>Ген.директором</w:t>
            </w:r>
            <w:proofErr w:type="spellEnd"/>
            <w:r w:rsidRPr="0050433C">
              <w:t xml:space="preserve"> Левченковым С.В. приказ №6/б от 15.12.15</w:t>
            </w:r>
          </w:p>
        </w:tc>
        <w:tc>
          <w:tcPr>
            <w:tcW w:w="2900" w:type="dxa"/>
            <w:hideMark/>
          </w:tcPr>
          <w:p w:rsidR="0050433C" w:rsidRPr="0050433C" w:rsidRDefault="0050433C" w:rsidP="0050433C">
            <w:r w:rsidRPr="0050433C">
              <w:t xml:space="preserve">Программа в области энергосбережения и </w:t>
            </w:r>
            <w:r w:rsidRPr="0050433C">
              <w:br/>
            </w:r>
            <w:proofErr w:type="spellStart"/>
            <w:proofErr w:type="gramStart"/>
            <w:r w:rsidRPr="0050433C">
              <w:t>и</w:t>
            </w:r>
            <w:proofErr w:type="spellEnd"/>
            <w:proofErr w:type="gramEnd"/>
            <w:r w:rsidRPr="0050433C">
              <w:t xml:space="preserve"> повышения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br/>
              <w:t>ООО «</w:t>
            </w:r>
            <w:proofErr w:type="spellStart"/>
            <w:r w:rsidRPr="0050433C">
              <w:t>Промэнергосеть</w:t>
            </w:r>
            <w:proofErr w:type="spellEnd"/>
            <w:r w:rsidRPr="0050433C">
              <w:t xml:space="preserve">» 2015-2018 г., утверждена </w:t>
            </w:r>
            <w:proofErr w:type="spellStart"/>
            <w:r w:rsidRPr="0050433C">
              <w:t>Ген.директором</w:t>
            </w:r>
            <w:proofErr w:type="spellEnd"/>
            <w:r w:rsidRPr="0050433C">
              <w:t xml:space="preserve"> Левченковым С.В. приказ №6/б от 15.12.15</w:t>
            </w:r>
          </w:p>
        </w:tc>
        <w:tc>
          <w:tcPr>
            <w:tcW w:w="2540" w:type="dxa"/>
            <w:hideMark/>
          </w:tcPr>
          <w:p w:rsidR="0050433C" w:rsidRPr="0050433C" w:rsidRDefault="0050433C" w:rsidP="0050433C">
            <w:r w:rsidRPr="0050433C">
              <w:t xml:space="preserve">Программа в области энергосбережения и </w:t>
            </w:r>
            <w:r w:rsidRPr="0050433C">
              <w:br/>
            </w:r>
            <w:proofErr w:type="spellStart"/>
            <w:proofErr w:type="gramStart"/>
            <w:r w:rsidRPr="0050433C">
              <w:t>и</w:t>
            </w:r>
            <w:proofErr w:type="spellEnd"/>
            <w:proofErr w:type="gramEnd"/>
            <w:r w:rsidRPr="0050433C">
              <w:t xml:space="preserve"> повышения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br/>
              <w:t>ООО «</w:t>
            </w:r>
            <w:proofErr w:type="spellStart"/>
            <w:r w:rsidRPr="0050433C">
              <w:t>Промэнергосеть</w:t>
            </w:r>
            <w:proofErr w:type="spellEnd"/>
            <w:r w:rsidRPr="0050433C">
              <w:t xml:space="preserve">» 2015-2018 г., утверждена </w:t>
            </w:r>
            <w:proofErr w:type="spellStart"/>
            <w:r w:rsidRPr="0050433C">
              <w:t>Ген.директором</w:t>
            </w:r>
            <w:proofErr w:type="spellEnd"/>
            <w:r w:rsidRPr="0050433C">
              <w:t xml:space="preserve"> Левченковым С.В. приказ №6/б от 15.12.15</w:t>
            </w:r>
          </w:p>
        </w:tc>
      </w:tr>
      <w:tr w:rsidR="0050433C" w:rsidRPr="0050433C" w:rsidTr="0050433C">
        <w:trPr>
          <w:trHeight w:val="144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4.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13451,11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25722,62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36222,11</w:t>
            </w:r>
          </w:p>
        </w:tc>
      </w:tr>
      <w:tr w:rsidR="0050433C" w:rsidRPr="0050433C" w:rsidTr="0050433C">
        <w:trPr>
          <w:trHeight w:val="180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4.1.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Расходы, связанные</w:t>
            </w:r>
            <w:r w:rsidRPr="0050433C">
              <w:br w:type="page"/>
              <w:t>с производством</w:t>
            </w:r>
            <w:r w:rsidRPr="0050433C">
              <w:br w:type="page"/>
              <w:t xml:space="preserve">и реализацией </w:t>
            </w:r>
            <w:r w:rsidRPr="0050433C">
              <w:rPr>
                <w:vertAlign w:val="superscript"/>
              </w:rPr>
              <w:t>2, 4</w:t>
            </w:r>
            <w:r w:rsidRPr="0050433C">
              <w:t xml:space="preserve">; подконтрольные расходы </w:t>
            </w:r>
            <w:r w:rsidRPr="0050433C">
              <w:rPr>
                <w:vertAlign w:val="superscript"/>
              </w:rPr>
              <w:t>3</w:t>
            </w:r>
            <w:r w:rsidRPr="0050433C">
              <w:t xml:space="preserve"> - всего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11863,02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14469,19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16697,21</w:t>
            </w:r>
          </w:p>
        </w:tc>
      </w:tr>
      <w:tr w:rsidR="0050433C" w:rsidRPr="0050433C" w:rsidTr="0050433C">
        <w:trPr>
          <w:trHeight w:val="552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в том числе: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</w:tr>
      <w:tr w:rsidR="0050433C" w:rsidRPr="0050433C" w:rsidTr="0050433C">
        <w:trPr>
          <w:trHeight w:val="552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оплата труда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3148,45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3840,13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4200</w:t>
            </w:r>
          </w:p>
        </w:tc>
      </w:tr>
      <w:tr w:rsidR="0050433C" w:rsidRPr="0050433C" w:rsidTr="0050433C">
        <w:trPr>
          <w:trHeight w:val="552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ремонт основных фондов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5144,99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6275,29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6572,87</w:t>
            </w:r>
          </w:p>
        </w:tc>
      </w:tr>
      <w:tr w:rsidR="0050433C" w:rsidRPr="0050433C" w:rsidTr="0050433C">
        <w:trPr>
          <w:trHeight w:val="79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lastRenderedPageBreak/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материальные затраты 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2796,6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3410,98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3572,73</w:t>
            </w:r>
          </w:p>
        </w:tc>
      </w:tr>
      <w:tr w:rsidR="0050433C" w:rsidRPr="0050433C" w:rsidTr="0050433C">
        <w:trPr>
          <w:trHeight w:val="171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4.2.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Расходы, за исключением </w:t>
            </w:r>
            <w:proofErr w:type="gramStart"/>
            <w:r w:rsidRPr="0050433C">
              <w:t>указанных</w:t>
            </w:r>
            <w:proofErr w:type="gramEnd"/>
            <w:r w:rsidRPr="0050433C">
              <w:t xml:space="preserve"> в подпункте 4.1 </w:t>
            </w:r>
            <w:r w:rsidRPr="0050433C">
              <w:rPr>
                <w:vertAlign w:val="superscript"/>
              </w:rPr>
              <w:t>2, 4</w:t>
            </w:r>
            <w:r w:rsidRPr="0050433C">
              <w:t xml:space="preserve">; неподконтрольные расходы  </w:t>
            </w:r>
            <w:r w:rsidRPr="0050433C">
              <w:rPr>
                <w:vertAlign w:val="superscript"/>
              </w:rPr>
              <w:t>3</w:t>
            </w:r>
            <w:r w:rsidRPr="0050433C">
              <w:t xml:space="preserve"> - всего 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1588,09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11253,43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19524,9</w:t>
            </w:r>
          </w:p>
        </w:tc>
      </w:tr>
      <w:tr w:rsidR="0050433C" w:rsidRPr="0050433C" w:rsidTr="0050433C">
        <w:trPr>
          <w:trHeight w:val="121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4.3.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Выпадающие, </w:t>
            </w:r>
            <w:r w:rsidRPr="0050433C">
              <w:br/>
              <w:t>излишние доходы (расходы) прошлых лет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90203C" w:rsidP="0050433C">
            <w:r>
              <w:t>13500</w:t>
            </w:r>
          </w:p>
        </w:tc>
      </w:tr>
      <w:tr w:rsidR="0050433C" w:rsidRPr="0050433C" w:rsidTr="0050433C">
        <w:trPr>
          <w:trHeight w:val="87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4.4.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Инвестиции, осуществляемые </w:t>
            </w:r>
            <w:r w:rsidRPr="0050433C">
              <w:br/>
              <w:t>за счет тарифных источников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-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1640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1720</w:t>
            </w:r>
          </w:p>
        </w:tc>
      </w:tr>
      <w:tr w:rsidR="0050433C" w:rsidRPr="0050433C" w:rsidTr="0050433C">
        <w:trPr>
          <w:trHeight w:val="246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4.4.1.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hideMark/>
          </w:tcPr>
          <w:p w:rsidR="0050433C" w:rsidRPr="0050433C" w:rsidRDefault="0050433C" w:rsidP="0050433C">
            <w:r w:rsidRPr="0050433C">
              <w:t>-</w:t>
            </w:r>
          </w:p>
        </w:tc>
        <w:tc>
          <w:tcPr>
            <w:tcW w:w="2900" w:type="dxa"/>
            <w:hideMark/>
          </w:tcPr>
          <w:p w:rsidR="0050433C" w:rsidRPr="0050433C" w:rsidRDefault="0050433C" w:rsidP="0050433C">
            <w:proofErr w:type="gramStart"/>
            <w:r w:rsidRPr="0050433C">
              <w:t>Утверждена</w:t>
            </w:r>
            <w:proofErr w:type="gramEnd"/>
            <w:r w:rsidRPr="0050433C">
              <w:t xml:space="preserve"> постановлением Департамента Смоленской области по энергетике,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t xml:space="preserve">, тарифной политике №160 от 30.07.2015г. </w:t>
            </w:r>
          </w:p>
        </w:tc>
        <w:tc>
          <w:tcPr>
            <w:tcW w:w="2540" w:type="dxa"/>
            <w:hideMark/>
          </w:tcPr>
          <w:p w:rsidR="0050433C" w:rsidRPr="0050433C" w:rsidRDefault="0050433C" w:rsidP="0050433C">
            <w:proofErr w:type="gramStart"/>
            <w:r w:rsidRPr="0050433C">
              <w:t>Утверждена</w:t>
            </w:r>
            <w:proofErr w:type="gramEnd"/>
            <w:r w:rsidRPr="0050433C">
              <w:t xml:space="preserve"> постановлением Департамента Смоленской области по энергетике, </w:t>
            </w:r>
            <w:proofErr w:type="spellStart"/>
            <w:r w:rsidRPr="0050433C">
              <w:t>энергоэффективности</w:t>
            </w:r>
            <w:proofErr w:type="spellEnd"/>
            <w:r w:rsidRPr="0050433C">
              <w:t xml:space="preserve">, тарифной политике №160 от 30.07.2015г. </w:t>
            </w:r>
          </w:p>
        </w:tc>
      </w:tr>
      <w:tr w:rsidR="0050433C" w:rsidRPr="0050433C" w:rsidTr="0050433C">
        <w:trPr>
          <w:trHeight w:val="54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pPr>
              <w:rPr>
                <w:i/>
                <w:iCs/>
              </w:rPr>
            </w:pPr>
            <w:r w:rsidRPr="0050433C">
              <w:rPr>
                <w:i/>
                <w:iCs/>
              </w:rPr>
              <w:t>Справочно: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</w:tr>
      <w:tr w:rsidR="0050433C" w:rsidRPr="0050433C" w:rsidTr="0050433C">
        <w:trPr>
          <w:trHeight w:val="61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Объем условных единиц 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у.е.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227,3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245,7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245,7</w:t>
            </w:r>
          </w:p>
        </w:tc>
      </w:tr>
      <w:tr w:rsidR="0050433C" w:rsidRPr="0050433C" w:rsidTr="0050433C">
        <w:trPr>
          <w:trHeight w:val="94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 xml:space="preserve">Операционные расходы на условную единицу </w:t>
            </w:r>
            <w:r w:rsidRPr="0050433C">
              <w:rPr>
                <w:vertAlign w:val="superscript"/>
              </w:rPr>
              <w:t>3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тыс. рублей (у.е.)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       22,64   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             25,54   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 xml:space="preserve">                             26,75   </w:t>
            </w:r>
          </w:p>
        </w:tc>
      </w:tr>
      <w:tr w:rsidR="0050433C" w:rsidRPr="0050433C" w:rsidTr="0050433C">
        <w:trPr>
          <w:trHeight w:val="145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5.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</w:tr>
      <w:tr w:rsidR="0050433C" w:rsidRPr="0050433C" w:rsidTr="0050433C">
        <w:trPr>
          <w:trHeight w:val="82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5.1.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Среднесписочная численность персонала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человек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7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8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8</w:t>
            </w:r>
          </w:p>
        </w:tc>
      </w:tr>
      <w:tr w:rsidR="0050433C" w:rsidRPr="0050433C" w:rsidTr="0050433C">
        <w:trPr>
          <w:trHeight w:val="94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5.2.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Среднемесячная заработная плата на одного работника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 xml:space="preserve">тыс. рублей на </w:t>
            </w:r>
            <w:r w:rsidRPr="0050433C">
              <w:br/>
              <w:t>человека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37,5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40,0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43,8</w:t>
            </w:r>
          </w:p>
        </w:tc>
      </w:tr>
      <w:tr w:rsidR="0050433C" w:rsidRPr="0050433C" w:rsidTr="0050433C">
        <w:trPr>
          <w:trHeight w:val="1185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t>5.3.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r w:rsidRPr="0050433C"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</w:tr>
      <w:tr w:rsidR="0050433C" w:rsidRPr="0050433C" w:rsidTr="0050433C">
        <w:trPr>
          <w:trHeight w:val="540"/>
        </w:trPr>
        <w:tc>
          <w:tcPr>
            <w:tcW w:w="700" w:type="dxa"/>
            <w:hideMark/>
          </w:tcPr>
          <w:p w:rsidR="0050433C" w:rsidRPr="0050433C" w:rsidRDefault="0050433C" w:rsidP="0050433C">
            <w:r w:rsidRPr="0050433C">
              <w:lastRenderedPageBreak/>
              <w:t> </w:t>
            </w:r>
          </w:p>
        </w:tc>
        <w:tc>
          <w:tcPr>
            <w:tcW w:w="3260" w:type="dxa"/>
            <w:hideMark/>
          </w:tcPr>
          <w:p w:rsidR="0050433C" w:rsidRPr="0050433C" w:rsidRDefault="0050433C">
            <w:pPr>
              <w:rPr>
                <w:i/>
                <w:iCs/>
              </w:rPr>
            </w:pPr>
            <w:r w:rsidRPr="0050433C">
              <w:rPr>
                <w:i/>
                <w:iCs/>
              </w:rPr>
              <w:t>Справочно:</w:t>
            </w:r>
          </w:p>
        </w:tc>
        <w:tc>
          <w:tcPr>
            <w:tcW w:w="1300" w:type="dxa"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8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90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2540" w:type="dxa"/>
            <w:noWrap/>
            <w:hideMark/>
          </w:tcPr>
          <w:p w:rsidR="0050433C" w:rsidRPr="0050433C" w:rsidRDefault="0050433C" w:rsidP="0050433C">
            <w:r w:rsidRPr="0050433C">
              <w:t> </w:t>
            </w:r>
          </w:p>
        </w:tc>
      </w:tr>
      <w:tr w:rsidR="0050433C" w:rsidRPr="0050433C" w:rsidTr="0050433C">
        <w:trPr>
          <w:trHeight w:val="1770"/>
        </w:trPr>
        <w:tc>
          <w:tcPr>
            <w:tcW w:w="700" w:type="dxa"/>
            <w:tcBorders>
              <w:bottom w:val="single" w:sz="4" w:space="0" w:color="auto"/>
            </w:tcBorders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50433C" w:rsidRPr="0050433C" w:rsidRDefault="0050433C">
            <w:r w:rsidRPr="0050433C">
              <w:t>Уставный капитал (складочный капитал, уставный фонд, вклады товарищей)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noWrap/>
            <w:hideMark/>
          </w:tcPr>
          <w:p w:rsidR="0050433C" w:rsidRPr="0050433C" w:rsidRDefault="0050433C" w:rsidP="0050433C">
            <w:r w:rsidRPr="0050433C">
              <w:t>10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50433C" w:rsidRPr="0050433C" w:rsidRDefault="0050433C" w:rsidP="0050433C">
            <w:r w:rsidRPr="0050433C">
              <w:t>10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hideMark/>
          </w:tcPr>
          <w:p w:rsidR="0050433C" w:rsidRPr="0050433C" w:rsidRDefault="0050433C" w:rsidP="0050433C">
            <w:r w:rsidRPr="0050433C">
              <w:t>10</w:t>
            </w:r>
          </w:p>
        </w:tc>
      </w:tr>
      <w:tr w:rsidR="0050433C" w:rsidRPr="0050433C" w:rsidTr="0050433C">
        <w:trPr>
          <w:trHeight w:val="2100"/>
        </w:trPr>
        <w:tc>
          <w:tcPr>
            <w:tcW w:w="700" w:type="dxa"/>
            <w:tcBorders>
              <w:bottom w:val="single" w:sz="4" w:space="0" w:color="auto"/>
            </w:tcBorders>
            <w:hideMark/>
          </w:tcPr>
          <w:p w:rsidR="0050433C" w:rsidRPr="0050433C" w:rsidRDefault="0050433C" w:rsidP="0050433C">
            <w:r w:rsidRPr="0050433C">
              <w:t>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50433C" w:rsidRPr="0050433C" w:rsidRDefault="0050433C">
            <w:r w:rsidRPr="0050433C"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:rsidR="0050433C" w:rsidRPr="0050433C" w:rsidRDefault="0050433C" w:rsidP="0050433C">
            <w:r w:rsidRPr="0050433C">
              <w:t>тыс. рублей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  <w:hideMark/>
          </w:tcPr>
          <w:p w:rsidR="0050433C" w:rsidRPr="0050433C" w:rsidRDefault="0050433C" w:rsidP="0050433C">
            <w:r w:rsidRPr="0050433C">
              <w:t>х</w:t>
            </w:r>
          </w:p>
        </w:tc>
      </w:tr>
      <w:tr w:rsidR="0050433C" w:rsidRPr="0050433C" w:rsidTr="0050433C">
        <w:trPr>
          <w:trHeight w:val="390"/>
        </w:trPr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_____</w:t>
            </w:r>
            <w:r w:rsidRPr="0050433C">
              <w:rPr>
                <w:vertAlign w:val="superscript"/>
              </w:rPr>
              <w:t>1</w:t>
            </w:r>
            <w:r w:rsidRPr="0050433C">
              <w:t>_Базовый период - год, предшествующий расчетному периоду регулирования.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</w:tr>
      <w:tr w:rsidR="0050433C" w:rsidRPr="0050433C" w:rsidTr="0050433C">
        <w:trPr>
          <w:trHeight w:val="31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_____</w:t>
            </w:r>
            <w:r w:rsidRPr="0050433C">
              <w:rPr>
                <w:vertAlign w:val="superscript"/>
              </w:rPr>
              <w:t>2</w:t>
            </w:r>
            <w:proofErr w:type="gramStart"/>
            <w:r w:rsidRPr="0050433C">
              <w:t>_З</w:t>
            </w:r>
            <w:proofErr w:type="gramEnd"/>
            <w:r w:rsidRPr="0050433C">
              <w:t>аполняются организацией, осуществляющей оперативно-диспетчерское управление в электроэнергетике.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</w:tr>
      <w:tr w:rsidR="0050433C" w:rsidRPr="0050433C" w:rsidTr="0050433C">
        <w:trPr>
          <w:trHeight w:val="315"/>
        </w:trPr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_____</w:t>
            </w:r>
            <w:r w:rsidRPr="0050433C">
              <w:rPr>
                <w:vertAlign w:val="superscript"/>
              </w:rPr>
              <w:t>3</w:t>
            </w:r>
            <w:proofErr w:type="gramStart"/>
            <w:r w:rsidRPr="0050433C">
              <w:t>_З</w:t>
            </w:r>
            <w:proofErr w:type="gramEnd"/>
            <w:r w:rsidRPr="0050433C">
              <w:t>аполняются сетевыми организациями, осуществляющими передачу электрической энергии (мощности) по электрическим сетям.</w:t>
            </w:r>
          </w:p>
        </w:tc>
      </w:tr>
      <w:tr w:rsidR="0050433C" w:rsidRPr="0050433C" w:rsidTr="0050433C">
        <w:trPr>
          <w:trHeight w:val="31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_____</w:t>
            </w:r>
            <w:r w:rsidRPr="0050433C">
              <w:rPr>
                <w:vertAlign w:val="superscript"/>
              </w:rPr>
              <w:t>4</w:t>
            </w:r>
            <w:proofErr w:type="gramStart"/>
            <w:r w:rsidRPr="0050433C">
              <w:t>_З</w:t>
            </w:r>
            <w:proofErr w:type="gramEnd"/>
            <w:r w:rsidRPr="0050433C">
              <w:t>аполняются коммерческим оператором оптового рынка электрической энергии (мощности).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/>
        </w:tc>
      </w:tr>
      <w:tr w:rsidR="0050433C" w:rsidRPr="0050433C" w:rsidTr="005043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</w:tr>
      <w:tr w:rsidR="0050433C" w:rsidRPr="0050433C" w:rsidTr="005043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 w:rsidP="0050433C">
            <w:r w:rsidRPr="0050433C">
              <w:t>Генеральный директор  ООО «</w:t>
            </w:r>
            <w:proofErr w:type="spellStart"/>
            <w:r w:rsidRPr="0050433C">
              <w:t>Промэнергосеть</w:t>
            </w:r>
            <w:proofErr w:type="spellEnd"/>
            <w:r w:rsidRPr="0050433C">
              <w:t xml:space="preserve">»                        Левченков С.В. 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433C" w:rsidRPr="0050433C" w:rsidRDefault="0050433C">
            <w:r w:rsidRPr="0050433C">
              <w:t> </w:t>
            </w:r>
          </w:p>
        </w:tc>
      </w:tr>
    </w:tbl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Default="0050433C" w:rsidP="003C1DD9"/>
    <w:p w:rsidR="0050433C" w:rsidRPr="003C1DD9" w:rsidRDefault="0050433C" w:rsidP="003C1DD9"/>
    <w:sectPr w:rsidR="0050433C" w:rsidRPr="003C1DD9" w:rsidSect="0016753F">
      <w:headerReference w:type="default" r:id="rId9"/>
      <w:pgSz w:w="11907" w:h="16840" w:code="9"/>
      <w:pgMar w:top="1418" w:right="1134" w:bottom="1418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6A" w:rsidRDefault="00F3546A">
      <w:r>
        <w:separator/>
      </w:r>
    </w:p>
  </w:endnote>
  <w:endnote w:type="continuationSeparator" w:id="0">
    <w:p w:rsidR="00F3546A" w:rsidRDefault="00F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6A" w:rsidRDefault="00F3546A">
      <w:r>
        <w:separator/>
      </w:r>
    </w:p>
  </w:footnote>
  <w:footnote w:type="continuationSeparator" w:id="0">
    <w:p w:rsidR="00F3546A" w:rsidRDefault="00F3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90" w:rsidRPr="0016753F" w:rsidRDefault="00B57990">
    <w:pPr>
      <w:pStyle w:val="a3"/>
      <w:jc w:val="right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8D"/>
    <w:rsid w:val="000A79DA"/>
    <w:rsid w:val="000C1E69"/>
    <w:rsid w:val="000F3477"/>
    <w:rsid w:val="0016753F"/>
    <w:rsid w:val="003C1DD9"/>
    <w:rsid w:val="0050433C"/>
    <w:rsid w:val="006B2173"/>
    <w:rsid w:val="006F2517"/>
    <w:rsid w:val="00725755"/>
    <w:rsid w:val="0074113E"/>
    <w:rsid w:val="008D038D"/>
    <w:rsid w:val="0090203C"/>
    <w:rsid w:val="009564D8"/>
    <w:rsid w:val="009B7A47"/>
    <w:rsid w:val="00A378DB"/>
    <w:rsid w:val="00A61C9E"/>
    <w:rsid w:val="00AC5B00"/>
    <w:rsid w:val="00B36D1B"/>
    <w:rsid w:val="00B57990"/>
    <w:rsid w:val="00BC3E83"/>
    <w:rsid w:val="00C21150"/>
    <w:rsid w:val="00C33EFD"/>
    <w:rsid w:val="00D52259"/>
    <w:rsid w:val="00D95D02"/>
    <w:rsid w:val="00DE27D1"/>
    <w:rsid w:val="00E21753"/>
    <w:rsid w:val="00EB0CDF"/>
    <w:rsid w:val="00F11190"/>
    <w:rsid w:val="00F3546A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rsid w:val="00C33EFD"/>
    <w:pPr>
      <w:autoSpaceDE/>
      <w:autoSpaceDN/>
      <w:spacing w:beforeAutospacing="1"/>
      <w:jc w:val="both"/>
    </w:pPr>
    <w:rPr>
      <w:rFonts w:ascii="Tahoma" w:eastAsia="SimSun" w:hAnsi="Tahoma"/>
      <w:color w:val="000000"/>
      <w:kern w:val="2"/>
      <w:sz w:val="24"/>
      <w:lang w:val="en-US" w:eastAsia="zh-CN"/>
    </w:rPr>
  </w:style>
  <w:style w:type="character" w:styleId="a7">
    <w:name w:val="Hyperlink"/>
    <w:basedOn w:val="a0"/>
    <w:uiPriority w:val="99"/>
    <w:rsid w:val="00C33EFD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0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rsid w:val="00C33EFD"/>
    <w:pPr>
      <w:autoSpaceDE/>
      <w:autoSpaceDN/>
      <w:spacing w:beforeAutospacing="1"/>
      <w:jc w:val="both"/>
    </w:pPr>
    <w:rPr>
      <w:rFonts w:ascii="Tahoma" w:eastAsia="SimSun" w:hAnsi="Tahoma"/>
      <w:color w:val="000000"/>
      <w:kern w:val="2"/>
      <w:sz w:val="24"/>
      <w:lang w:val="en-US" w:eastAsia="zh-CN"/>
    </w:rPr>
  </w:style>
  <w:style w:type="character" w:styleId="a7">
    <w:name w:val="Hyperlink"/>
    <w:basedOn w:val="a0"/>
    <w:uiPriority w:val="99"/>
    <w:rsid w:val="00C33EFD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0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nergos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Игорь</cp:lastModifiedBy>
  <cp:revision>5</cp:revision>
  <cp:lastPrinted>2015-04-21T13:28:00Z</cp:lastPrinted>
  <dcterms:created xsi:type="dcterms:W3CDTF">2016-04-27T12:22:00Z</dcterms:created>
  <dcterms:modified xsi:type="dcterms:W3CDTF">2016-04-27T12:41:00Z</dcterms:modified>
</cp:coreProperties>
</file>